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5310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5310B">
      <w:pPr>
        <w:rPr>
          <w:rFonts w:ascii="Verdana" w:eastAsia="Times New Roman" w:hAnsi="Verdana"/>
          <w:sz w:val="18"/>
          <w:szCs w:val="18"/>
        </w:rPr>
      </w:pPr>
      <w:r>
        <w:rPr>
          <w:rFonts w:ascii="Verdana" w:eastAsia="Times New Roman" w:hAnsi="Verdana"/>
          <w:b/>
          <w:bCs/>
          <w:sz w:val="18"/>
          <w:szCs w:val="18"/>
        </w:rPr>
        <w:t>FARE - Forensisch Ambulante Risico Evaluatie</w:t>
      </w:r>
      <w:r>
        <w:rPr>
          <w:rFonts w:ascii="Verdana" w:eastAsia="Times New Roman" w:hAnsi="Verdana"/>
          <w:sz w:val="18"/>
          <w:szCs w:val="18"/>
        </w:rPr>
        <w:br/>
      </w:r>
    </w:p>
    <w:p w:rsidR="00166A73" w:rsidRDefault="00D5310B" w:rsidP="00166A73">
      <w:pPr>
        <w:pStyle w:val="Normaalweb"/>
        <w:spacing w:after="0" w:afterAutospacing="0"/>
        <w:divId w:val="881550360"/>
        <w:rPr>
          <w:rFonts w:ascii="Verdana" w:hAnsi="Verdana"/>
          <w:sz w:val="18"/>
          <w:szCs w:val="18"/>
        </w:rPr>
      </w:pPr>
      <w:r>
        <w:rPr>
          <w:rFonts w:ascii="Verdana" w:hAnsi="Verdana"/>
          <w:sz w:val="18"/>
          <w:szCs w:val="18"/>
        </w:rPr>
        <w:t>De FARE is een instrument voor risicotaxatie en behandelevaluatie voor de ambulante forensisch psychiatrische zorg, ontwikkeld in opdracht van het Programma</w:t>
      </w:r>
      <w:r>
        <w:rPr>
          <w:rFonts w:ascii="Verdana" w:hAnsi="Verdana"/>
          <w:sz w:val="18"/>
          <w:szCs w:val="18"/>
        </w:rPr>
        <w:t xml:space="preserve"> Kwaliteit Forensische Zorg. Het biedt inhoudelijke meerwaarde en zorgt voor standaardisering in het ambulante zorgveld. Daarom heeft het Forensisch Netwerk van GGZ Nederland besloten om dit specifieke instrument tot norm te verheffen voor de gehele settin</w:t>
      </w:r>
      <w:r>
        <w:rPr>
          <w:rFonts w:ascii="Verdana" w:hAnsi="Verdana"/>
          <w:sz w:val="18"/>
          <w:szCs w:val="18"/>
        </w:rPr>
        <w:t>g. Met ingang van 1 januari 2019 zal in elke ambulante forensisch psychiatrische instelling het invullen van de FARE verplicht zijn.</w:t>
      </w:r>
      <w:r>
        <w:rPr>
          <w:rFonts w:ascii="Verdana" w:hAnsi="Verdana"/>
          <w:sz w:val="18"/>
          <w:szCs w:val="18"/>
        </w:rPr>
        <w:br/>
        <w:t>Projectuitvoering:</w:t>
      </w:r>
    </w:p>
    <w:p w:rsidR="00000000" w:rsidRDefault="00D5310B" w:rsidP="00166A73">
      <w:pPr>
        <w:pStyle w:val="Normaalweb"/>
        <w:numPr>
          <w:ilvl w:val="0"/>
          <w:numId w:val="4"/>
        </w:numPr>
        <w:spacing w:before="0" w:beforeAutospacing="0" w:after="0" w:afterAutospacing="0"/>
        <w:ind w:left="714" w:hanging="357"/>
        <w:divId w:val="881550360"/>
        <w:rPr>
          <w:rFonts w:ascii="Verdana" w:eastAsia="Times New Roman" w:hAnsi="Verdana"/>
          <w:sz w:val="18"/>
          <w:szCs w:val="18"/>
        </w:rPr>
      </w:pPr>
      <w:r>
        <w:rPr>
          <w:rFonts w:ascii="Verdana" w:eastAsia="Times New Roman" w:hAnsi="Verdana"/>
          <w:sz w:val="18"/>
          <w:szCs w:val="18"/>
        </w:rPr>
        <w:t>dr. J.E. van Horn, senior onderzoeker de Waag, onderdeel van De Forensische Zorgspecialisten, met portef</w:t>
      </w:r>
      <w:r>
        <w:rPr>
          <w:rFonts w:ascii="Verdana" w:eastAsia="Times New Roman" w:hAnsi="Verdana"/>
          <w:sz w:val="18"/>
          <w:szCs w:val="18"/>
        </w:rPr>
        <w:t>euille ambulante forensische populatie</w:t>
      </w:r>
    </w:p>
    <w:p w:rsidR="00000000" w:rsidRDefault="00D5310B" w:rsidP="00166A73">
      <w:pPr>
        <w:numPr>
          <w:ilvl w:val="0"/>
          <w:numId w:val="4"/>
        </w:numPr>
        <w:ind w:left="714" w:hanging="357"/>
        <w:divId w:val="881550360"/>
        <w:rPr>
          <w:rFonts w:ascii="Verdana" w:eastAsia="Times New Roman" w:hAnsi="Verdana"/>
          <w:sz w:val="18"/>
          <w:szCs w:val="18"/>
        </w:rPr>
      </w:pPr>
      <w:r>
        <w:rPr>
          <w:rFonts w:ascii="Verdana" w:eastAsia="Times New Roman" w:hAnsi="Verdana"/>
          <w:sz w:val="18"/>
          <w:szCs w:val="18"/>
        </w:rPr>
        <w:t>M</w:t>
      </w:r>
      <w:r>
        <w:rPr>
          <w:rFonts w:ascii="Verdana" w:eastAsia="Times New Roman" w:hAnsi="Verdana"/>
          <w:sz w:val="18"/>
          <w:szCs w:val="18"/>
        </w:rPr>
        <w:t>.J. Eisenberg, MSc, onderzoeker de Waag, onderde</w:t>
      </w:r>
      <w:bookmarkStart w:id="0" w:name="_GoBack"/>
      <w:bookmarkEnd w:id="0"/>
      <w:r>
        <w:rPr>
          <w:rFonts w:ascii="Verdana" w:eastAsia="Times New Roman" w:hAnsi="Verdana"/>
          <w:sz w:val="18"/>
          <w:szCs w:val="18"/>
        </w:rPr>
        <w:t>el van De Forensische Zorgspecialisten; promovenda Universiteit van Amsterdam, Faculteit der Maatschappij- en Gedragswetenschappen</w:t>
      </w:r>
    </w:p>
    <w:p w:rsidR="00000000" w:rsidRDefault="00D5310B" w:rsidP="00166A73">
      <w:pPr>
        <w:numPr>
          <w:ilvl w:val="0"/>
          <w:numId w:val="4"/>
        </w:numPr>
        <w:ind w:left="714" w:hanging="357"/>
        <w:divId w:val="881550360"/>
        <w:rPr>
          <w:rFonts w:ascii="Verdana" w:eastAsia="Times New Roman" w:hAnsi="Verdana"/>
          <w:sz w:val="18"/>
          <w:szCs w:val="18"/>
        </w:rPr>
      </w:pPr>
      <w:r>
        <w:rPr>
          <w:rFonts w:ascii="Verdana" w:eastAsia="Times New Roman" w:hAnsi="Verdana"/>
          <w:sz w:val="18"/>
          <w:szCs w:val="18"/>
        </w:rPr>
        <w:t>dr. Y.H.A. Bouman, senior onderzoeker</w:t>
      </w:r>
      <w:r>
        <w:rPr>
          <w:rFonts w:ascii="Verdana" w:eastAsia="Times New Roman" w:hAnsi="Verdana"/>
          <w:sz w:val="18"/>
          <w:szCs w:val="18"/>
        </w:rPr>
        <w:t xml:space="preserve"> </w:t>
      </w:r>
      <w:proofErr w:type="spellStart"/>
      <w:r>
        <w:rPr>
          <w:rFonts w:ascii="Verdana" w:eastAsia="Times New Roman" w:hAnsi="Verdana"/>
          <w:sz w:val="18"/>
          <w:szCs w:val="18"/>
        </w:rPr>
        <w:t>Transfore</w:t>
      </w:r>
      <w:proofErr w:type="spellEnd"/>
      <w:r>
        <w:rPr>
          <w:rFonts w:ascii="Verdana" w:eastAsia="Times New Roman" w:hAnsi="Verdana"/>
          <w:sz w:val="18"/>
          <w:szCs w:val="18"/>
        </w:rPr>
        <w:t xml:space="preserve"> en voorheen senior onderzoeker </w:t>
      </w:r>
      <w:proofErr w:type="spellStart"/>
      <w:r>
        <w:rPr>
          <w:rFonts w:ascii="Verdana" w:eastAsia="Times New Roman" w:hAnsi="Verdana"/>
          <w:sz w:val="18"/>
          <w:szCs w:val="18"/>
        </w:rPr>
        <w:t>Pompestichting</w:t>
      </w:r>
      <w:proofErr w:type="spellEnd"/>
    </w:p>
    <w:p w:rsidR="00000000" w:rsidRDefault="00D5310B" w:rsidP="00166A73">
      <w:pPr>
        <w:numPr>
          <w:ilvl w:val="0"/>
          <w:numId w:val="4"/>
        </w:numPr>
        <w:ind w:left="714" w:hanging="357"/>
        <w:divId w:val="881550360"/>
        <w:rPr>
          <w:rFonts w:ascii="Verdana" w:eastAsia="Times New Roman" w:hAnsi="Verdana"/>
          <w:sz w:val="18"/>
          <w:szCs w:val="18"/>
        </w:rPr>
      </w:pPr>
      <w:r>
        <w:rPr>
          <w:rFonts w:ascii="Verdana" w:eastAsia="Times New Roman" w:hAnsi="Verdana"/>
          <w:sz w:val="18"/>
          <w:szCs w:val="18"/>
        </w:rPr>
        <w:t xml:space="preserve">F.J.A.C. van den Hanenberg, MSc, psycholoog en onderzoeksassistent </w:t>
      </w:r>
      <w:proofErr w:type="spellStart"/>
      <w:r>
        <w:rPr>
          <w:rFonts w:ascii="Verdana" w:eastAsia="Times New Roman" w:hAnsi="Verdana"/>
          <w:sz w:val="18"/>
          <w:szCs w:val="18"/>
        </w:rPr>
        <w:t>Kijvelanden</w:t>
      </w:r>
      <w:proofErr w:type="spellEnd"/>
      <w:r>
        <w:rPr>
          <w:rFonts w:ascii="Verdana" w:eastAsia="Times New Roman" w:hAnsi="Verdana"/>
          <w:sz w:val="18"/>
          <w:szCs w:val="18"/>
        </w:rPr>
        <w:t xml:space="preserve"> Academy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Research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Innovation</w:t>
      </w:r>
      <w:proofErr w:type="spellEnd"/>
      <w:r>
        <w:rPr>
          <w:rFonts w:ascii="Verdana" w:eastAsia="Times New Roman" w:hAnsi="Verdana"/>
          <w:sz w:val="18"/>
          <w:szCs w:val="18"/>
        </w:rPr>
        <w:t xml:space="preserve"> Development (KARID) bij FPC de </w:t>
      </w:r>
      <w:proofErr w:type="spellStart"/>
      <w:r>
        <w:rPr>
          <w:rFonts w:ascii="Verdana" w:eastAsia="Times New Roman" w:hAnsi="Verdana"/>
          <w:sz w:val="18"/>
          <w:szCs w:val="18"/>
        </w:rPr>
        <w:t>Kijvelanden</w:t>
      </w:r>
      <w:proofErr w:type="spellEnd"/>
    </w:p>
    <w:p w:rsidR="00000000" w:rsidRDefault="00D5310B" w:rsidP="00166A73">
      <w:pPr>
        <w:numPr>
          <w:ilvl w:val="0"/>
          <w:numId w:val="4"/>
        </w:numPr>
        <w:ind w:left="714" w:hanging="357"/>
        <w:divId w:val="881550360"/>
        <w:rPr>
          <w:rFonts w:ascii="Verdana" w:eastAsia="Times New Roman" w:hAnsi="Verdana"/>
          <w:sz w:val="18"/>
          <w:szCs w:val="18"/>
        </w:rPr>
      </w:pPr>
      <w:r>
        <w:rPr>
          <w:rFonts w:ascii="Verdana" w:eastAsia="Times New Roman" w:hAnsi="Verdana"/>
          <w:sz w:val="18"/>
          <w:szCs w:val="18"/>
        </w:rPr>
        <w:t>dr. C.E. van der Put, universitair docent</w:t>
      </w:r>
      <w:r>
        <w:rPr>
          <w:rFonts w:ascii="Verdana" w:eastAsia="Times New Roman" w:hAnsi="Verdana"/>
          <w:sz w:val="18"/>
          <w:szCs w:val="18"/>
        </w:rPr>
        <w:t xml:space="preserve"> aan de Universiteit van Amsterdam, Faculteit der Maatschappij- en Gedragswetenschappen. Programmagroep: Forensische Orthopedagogiek FORTHO</w:t>
      </w:r>
    </w:p>
    <w:p w:rsidR="00000000" w:rsidRDefault="00D5310B" w:rsidP="00166A73">
      <w:pPr>
        <w:numPr>
          <w:ilvl w:val="0"/>
          <w:numId w:val="4"/>
        </w:numPr>
        <w:ind w:left="714" w:hanging="357"/>
        <w:divId w:val="881550360"/>
        <w:rPr>
          <w:rFonts w:ascii="Verdana" w:eastAsia="Times New Roman" w:hAnsi="Verdana"/>
          <w:sz w:val="18"/>
          <w:szCs w:val="18"/>
        </w:rPr>
      </w:pPr>
      <w:r>
        <w:rPr>
          <w:rFonts w:ascii="Verdana" w:eastAsia="Times New Roman" w:hAnsi="Verdana"/>
          <w:sz w:val="18"/>
          <w:szCs w:val="18"/>
        </w:rPr>
        <w:t>prof. dr. S. Bogaerts, hoogleraar forensische psychologie, departement ontwikkelingspsychologie, Universiteit van Ti</w:t>
      </w:r>
      <w:r>
        <w:rPr>
          <w:rFonts w:ascii="Verdana" w:eastAsia="Times New Roman" w:hAnsi="Verdana"/>
          <w:sz w:val="18"/>
          <w:szCs w:val="18"/>
        </w:rPr>
        <w:t xml:space="preserve">lburg; Hoofd onderzoek en behandelinnovatie de </w:t>
      </w:r>
      <w:proofErr w:type="spellStart"/>
      <w:r>
        <w:rPr>
          <w:rFonts w:ascii="Verdana" w:eastAsia="Times New Roman" w:hAnsi="Verdana"/>
          <w:sz w:val="18"/>
          <w:szCs w:val="18"/>
        </w:rPr>
        <w:t>Kijvelanden</w:t>
      </w:r>
      <w:proofErr w:type="spellEnd"/>
      <w:r>
        <w:rPr>
          <w:rFonts w:ascii="Verdana" w:eastAsia="Times New Roman" w:hAnsi="Verdana"/>
          <w:sz w:val="18"/>
          <w:szCs w:val="18"/>
        </w:rPr>
        <w:t xml:space="preserve"> (KARID)/</w:t>
      </w:r>
      <w:proofErr w:type="spellStart"/>
      <w:r>
        <w:rPr>
          <w:rFonts w:ascii="Verdana" w:eastAsia="Times New Roman" w:hAnsi="Verdana"/>
          <w:sz w:val="18"/>
          <w:szCs w:val="18"/>
        </w:rPr>
        <w:t>Fivoor</w:t>
      </w:r>
      <w:proofErr w:type="spellEnd"/>
    </w:p>
    <w:p w:rsidR="00166A73" w:rsidRDefault="00166A73" w:rsidP="00166A73">
      <w:pPr>
        <w:ind w:left="714"/>
        <w:divId w:val="881550360"/>
        <w:rPr>
          <w:rFonts w:ascii="Verdana" w:eastAsia="Times New Roman" w:hAnsi="Verdana"/>
          <w:sz w:val="18"/>
          <w:szCs w:val="18"/>
        </w:rPr>
      </w:pPr>
    </w:p>
    <w:p w:rsidR="00000000" w:rsidRDefault="00D5310B" w:rsidP="00166A73">
      <w:pPr>
        <w:divId w:val="881550360"/>
        <w:rPr>
          <w:rFonts w:ascii="Verdana" w:eastAsia="Times New Roman" w:hAnsi="Verdana"/>
          <w:sz w:val="18"/>
          <w:szCs w:val="18"/>
        </w:rPr>
      </w:pPr>
      <w:r>
        <w:rPr>
          <w:rFonts w:ascii="Verdana" w:eastAsia="Times New Roman" w:hAnsi="Verdana"/>
          <w:sz w:val="18"/>
          <w:szCs w:val="18"/>
        </w:rPr>
        <w:t xml:space="preserve">Gaat het om risicotaxatie van jongeren in de ambulante praktijk, dan bieden wij ook de </w:t>
      </w:r>
      <w:proofErr w:type="spellStart"/>
      <w:r>
        <w:rPr>
          <w:rFonts w:ascii="Verdana" w:eastAsia="Times New Roman" w:hAnsi="Verdana"/>
          <w:sz w:val="18"/>
          <w:szCs w:val="18"/>
        </w:rPr>
        <w:t>incompany</w:t>
      </w:r>
      <w:proofErr w:type="spellEnd"/>
      <w:r>
        <w:rPr>
          <w:rFonts w:ascii="Verdana" w:eastAsia="Times New Roman" w:hAnsi="Verdana"/>
          <w:sz w:val="18"/>
          <w:szCs w:val="18"/>
        </w:rPr>
        <w:t xml:space="preserve"> cursus </w:t>
      </w:r>
      <w:hyperlink r:id="rId6" w:tgtFrame="_top" w:tooltip="Cursus RAF GGZ voor jongeren" w:history="1">
        <w:r>
          <w:rPr>
            <w:rStyle w:val="Hyperlink"/>
            <w:rFonts w:ascii="Verdana" w:eastAsia="Times New Roman" w:hAnsi="Verdana"/>
            <w:sz w:val="18"/>
            <w:szCs w:val="18"/>
          </w:rPr>
          <w:t>RAF GGZ voor jongeren</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de training ben je op de hoogte van de meest recente wetenschappelijke ontwikkelingen op het gebied van risicotaxatie v</w:t>
      </w:r>
      <w:r>
        <w:rPr>
          <w:rFonts w:ascii="Verdana" w:eastAsia="Times New Roman" w:hAnsi="Verdana"/>
          <w:sz w:val="18"/>
          <w:szCs w:val="18"/>
        </w:rPr>
        <w:t>an volwassenen in de ambulante forensische GGZ. Tevens ben je in staat om de FARE te scoren en op basis daarvan tot een onderbouwde inschatting van het recidiverisico te komen.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neuropsycholoog BIG, NVO Orthopedagoog-g</w:t>
      </w:r>
      <w:r>
        <w:rPr>
          <w:rFonts w:ascii="Verdana" w:eastAsia="Times New Roman" w:hAnsi="Verdana"/>
          <w:sz w:val="18"/>
          <w:szCs w:val="18"/>
        </w:rPr>
        <w:t>eneralist, Basispsycholoog en Gedragstherapeut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FARE kan worden gebruikt door professionals in het ambulante forensische veld met minimaal een hbo-opleiding, minimaal 2 jaar ervaring in het forensische veld en het forensisch denken, kennis van he</w:t>
      </w:r>
      <w:r>
        <w:rPr>
          <w:rFonts w:ascii="Verdana" w:eastAsia="Times New Roman" w:hAnsi="Verdana"/>
          <w:sz w:val="18"/>
          <w:szCs w:val="18"/>
        </w:rPr>
        <w:t>t Risk-</w:t>
      </w:r>
      <w:proofErr w:type="spellStart"/>
      <w:r>
        <w:rPr>
          <w:rFonts w:ascii="Verdana" w:eastAsia="Times New Roman" w:hAnsi="Verdana"/>
          <w:sz w:val="18"/>
          <w:szCs w:val="18"/>
        </w:rPr>
        <w:t>Need</w:t>
      </w:r>
      <w:proofErr w:type="spellEnd"/>
      <w:r>
        <w:rPr>
          <w:rFonts w:ascii="Verdana" w:eastAsia="Times New Roman" w:hAnsi="Verdana"/>
          <w:sz w:val="18"/>
          <w:szCs w:val="18"/>
        </w:rPr>
        <w:t>-</w:t>
      </w:r>
      <w:proofErr w:type="spellStart"/>
      <w:r>
        <w:rPr>
          <w:rFonts w:ascii="Verdana" w:eastAsia="Times New Roman" w:hAnsi="Verdana"/>
          <w:sz w:val="18"/>
          <w:szCs w:val="18"/>
        </w:rPr>
        <w:t>Responsivity</w:t>
      </w:r>
      <w:proofErr w:type="spellEnd"/>
      <w:r>
        <w:rPr>
          <w:rFonts w:ascii="Verdana" w:eastAsia="Times New Roman" w:hAnsi="Verdana"/>
          <w:sz w:val="18"/>
          <w:szCs w:val="18"/>
        </w:rPr>
        <w:t xml:space="preserve"> (RNR)-model en minimaal 1 jaar ervaring in het verrichten van risicotaxatie. Beschik je niet over deze kennis en ervaring, dan dien je getraind te worden in het gebruik van de FARE of een van de andere in Nederland gebruikte risico</w:t>
      </w:r>
      <w:r>
        <w:rPr>
          <w:rFonts w:ascii="Verdana" w:eastAsia="Times New Roman" w:hAnsi="Verdana"/>
          <w:sz w:val="18"/>
          <w:szCs w:val="18"/>
        </w:rPr>
        <w:t>taxatie-instrumenten.</w:t>
      </w:r>
      <w:r>
        <w:rPr>
          <w:rFonts w:ascii="Verdana" w:eastAsia="Times New Roman" w:hAnsi="Verdana"/>
          <w:sz w:val="18"/>
          <w:szCs w:val="18"/>
        </w:rPr>
        <w:br/>
      </w:r>
      <w:r>
        <w:rPr>
          <w:rFonts w:ascii="Verdana" w:eastAsia="Times New Roman" w:hAnsi="Verdana"/>
          <w:sz w:val="18"/>
          <w:szCs w:val="18"/>
        </w:rPr>
        <w:br/>
        <w:t>Opbouw instrument</w:t>
      </w:r>
      <w:r>
        <w:rPr>
          <w:rFonts w:ascii="Verdana" w:eastAsia="Times New Roman" w:hAnsi="Verdana"/>
          <w:sz w:val="18"/>
          <w:szCs w:val="18"/>
        </w:rPr>
        <w:br/>
        <w:t>De FARE bestaat uit zes statische en elf dynamische risicofactoren, gebaseerd op de '</w:t>
      </w:r>
      <w:proofErr w:type="spellStart"/>
      <w:r>
        <w:rPr>
          <w:rFonts w:ascii="Verdana" w:eastAsia="Times New Roman" w:hAnsi="Verdana"/>
          <w:sz w:val="18"/>
          <w:szCs w:val="18"/>
        </w:rPr>
        <w:t>central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eight</w:t>
      </w:r>
      <w:proofErr w:type="spellEnd"/>
      <w:r>
        <w:rPr>
          <w:rFonts w:ascii="Verdana" w:eastAsia="Times New Roman" w:hAnsi="Verdana"/>
          <w:sz w:val="18"/>
          <w:szCs w:val="18"/>
        </w:rPr>
        <w:t>' criminogene risicofactoren.</w:t>
      </w:r>
      <w:r>
        <w:rPr>
          <w:rFonts w:ascii="Verdana" w:eastAsia="Times New Roman" w:hAnsi="Verdana"/>
          <w:sz w:val="18"/>
          <w:szCs w:val="18"/>
        </w:rPr>
        <w:br/>
        <w:t>Statische factoren hebben betrekking op in principe 'onveranderbare' kenmerken, zoals d</w:t>
      </w:r>
      <w:r>
        <w:rPr>
          <w:rFonts w:ascii="Verdana" w:eastAsia="Times New Roman" w:hAnsi="Verdana"/>
          <w:sz w:val="18"/>
          <w:szCs w:val="18"/>
        </w:rPr>
        <w:t xml:space="preserve">e leeftijd waarop het eerste delict werd gepleegd en het justitiële verleden. Het is gebleken dat statische factoren vooral succesvol zijn in het voorspellen van </w:t>
      </w:r>
      <w:proofErr w:type="spellStart"/>
      <w:r>
        <w:rPr>
          <w:rFonts w:ascii="Verdana" w:eastAsia="Times New Roman" w:hAnsi="Verdana"/>
          <w:sz w:val="18"/>
          <w:szCs w:val="18"/>
        </w:rPr>
        <w:t>delictgedrag</w:t>
      </w:r>
      <w:proofErr w:type="spellEnd"/>
      <w:r>
        <w:rPr>
          <w:rFonts w:ascii="Verdana" w:eastAsia="Times New Roman" w:hAnsi="Verdana"/>
          <w:sz w:val="18"/>
          <w:szCs w:val="18"/>
        </w:rPr>
        <w:t xml:space="preserve"> op langere termijn en niet of nauwelijks beïnvloedbaar zijn door interventie. De </w:t>
      </w:r>
      <w:r>
        <w:rPr>
          <w:rFonts w:ascii="Verdana" w:eastAsia="Times New Roman" w:hAnsi="Verdana"/>
          <w:sz w:val="18"/>
          <w:szCs w:val="18"/>
        </w:rPr>
        <w:t>risicotaxatie op basis van statische factoren geeft zicht op de mate waarin crimineel gedrag onderdeel uitmaakt van het leven van de cliënt.</w:t>
      </w:r>
      <w:r>
        <w:rPr>
          <w:rFonts w:ascii="Verdana" w:eastAsia="Times New Roman" w:hAnsi="Verdana"/>
          <w:sz w:val="18"/>
          <w:szCs w:val="18"/>
        </w:rPr>
        <w:br/>
        <w:t>Dynamische risicofactoren hebben betrekking op de persoon en het gedrag van de persoon (individuele factoren) en op</w:t>
      </w:r>
      <w:r>
        <w:rPr>
          <w:rFonts w:ascii="Verdana" w:eastAsia="Times New Roman" w:hAnsi="Verdana"/>
          <w:sz w:val="18"/>
          <w:szCs w:val="18"/>
        </w:rPr>
        <w:t xml:space="preserve"> diens sociale en leefsituatie (contextuele factoren). Dynamische risicofactoren zijn door interventie te beïnvloeden. Veranderingen in de dynamische risicofactoren hangen samen met veranderingen in het recidiverisico.</w:t>
      </w:r>
      <w:r>
        <w:rPr>
          <w:rFonts w:ascii="Verdana" w:eastAsia="Times New Roman" w:hAnsi="Verdana"/>
          <w:sz w:val="18"/>
          <w:szCs w:val="18"/>
        </w:rPr>
        <w:br/>
      </w:r>
      <w:r>
        <w:rPr>
          <w:rFonts w:ascii="Verdana" w:eastAsia="Times New Roman" w:hAnsi="Verdana"/>
          <w:sz w:val="18"/>
          <w:szCs w:val="18"/>
        </w:rPr>
        <w:br/>
        <w:t>De FARE is ontwikkeld voor volwassen</w:t>
      </w:r>
      <w:r>
        <w:rPr>
          <w:rFonts w:ascii="Verdana" w:eastAsia="Times New Roman" w:hAnsi="Verdana"/>
          <w:sz w:val="18"/>
          <w:szCs w:val="18"/>
        </w:rPr>
        <w:t xml:space="preserve"> cliënten van 18 jaar en ouder die vanwege (dreigend) </w:t>
      </w:r>
      <w:proofErr w:type="spellStart"/>
      <w:r>
        <w:rPr>
          <w:rFonts w:ascii="Verdana" w:eastAsia="Times New Roman" w:hAnsi="Verdana"/>
          <w:sz w:val="18"/>
          <w:szCs w:val="18"/>
        </w:rPr>
        <w:t>delictgedrag</w:t>
      </w:r>
      <w:proofErr w:type="spellEnd"/>
      <w:r>
        <w:rPr>
          <w:rFonts w:ascii="Verdana" w:eastAsia="Times New Roman" w:hAnsi="Verdana"/>
          <w:sz w:val="18"/>
          <w:szCs w:val="18"/>
        </w:rPr>
        <w:t xml:space="preserve"> vrijwillig of gedwongen worden behandeld in een forensisch ambulante setting, waaronder de forensische poliklinieken en </w:t>
      </w:r>
      <w:proofErr w:type="spellStart"/>
      <w:r>
        <w:rPr>
          <w:rFonts w:ascii="Verdana" w:eastAsia="Times New Roman" w:hAnsi="Verdana"/>
          <w:sz w:val="18"/>
          <w:szCs w:val="18"/>
        </w:rPr>
        <w:t>ForFACT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t>Werkwijze</w:t>
      </w:r>
      <w:r>
        <w:rPr>
          <w:rFonts w:ascii="Verdana" w:eastAsia="Times New Roman" w:hAnsi="Verdana"/>
          <w:sz w:val="18"/>
          <w:szCs w:val="18"/>
        </w:rPr>
        <w:t>:</w:t>
      </w:r>
      <w:r>
        <w:rPr>
          <w:rFonts w:ascii="Verdana" w:eastAsia="Times New Roman" w:hAnsi="Verdana"/>
          <w:sz w:val="18"/>
          <w:szCs w:val="18"/>
        </w:rPr>
        <w:br/>
        <w:t>Huiswerkopdrachten worden besproken. De voorber</w:t>
      </w:r>
      <w:r>
        <w:rPr>
          <w:rFonts w:ascii="Verdana" w:eastAsia="Times New Roman" w:hAnsi="Verdana"/>
          <w:sz w:val="18"/>
          <w:szCs w:val="18"/>
        </w:rPr>
        <w:t>eiding kost de cursist ongeveer vijf uur.</w:t>
      </w:r>
      <w:r>
        <w:rPr>
          <w:rFonts w:ascii="Verdana" w:eastAsia="Times New Roman" w:hAnsi="Verdana"/>
          <w:sz w:val="18"/>
          <w:szCs w:val="18"/>
        </w:rPr>
        <w:br/>
        <w:t>Korte theoretische informatie wisselen we af met praktische opdrachten.</w:t>
      </w:r>
    </w:p>
    <w:p w:rsidR="00000000" w:rsidRDefault="00D531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het scoren van de FARE</w:t>
      </w:r>
    </w:p>
    <w:p w:rsidR="00000000" w:rsidRDefault="00D531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inschatten van het recidiverisico met behulp van de FARE</w:t>
      </w:r>
    </w:p>
    <w:p w:rsidR="00166A73" w:rsidRPr="00166A73" w:rsidRDefault="00D5310B" w:rsidP="00166A7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gebruik van de resultaten van het instrument voor h</w:t>
      </w:r>
      <w:r>
        <w:rPr>
          <w:rFonts w:ascii="Verdana" w:eastAsia="Times New Roman" w:hAnsi="Verdana"/>
          <w:sz w:val="18"/>
          <w:szCs w:val="18"/>
        </w:rPr>
        <w:t>et vormgeven en monitoren van de behandeling</w:t>
      </w:r>
    </w:p>
    <w:p w:rsidR="00000000" w:rsidRPr="00166A73" w:rsidRDefault="00D5310B" w:rsidP="00166A73">
      <w:pPr>
        <w:rPr>
          <w:rFonts w:ascii="Verdana" w:eastAsia="Times New Roman" w:hAnsi="Verdana"/>
          <w:sz w:val="18"/>
          <w:szCs w:val="18"/>
        </w:rPr>
      </w:pPr>
      <w:r w:rsidRPr="00166A73">
        <w:rPr>
          <w:rFonts w:ascii="Verdana" w:eastAsia="Times New Roman" w:hAnsi="Verdana"/>
          <w:sz w:val="18"/>
          <w:szCs w:val="18"/>
        </w:rPr>
        <w:t>Na succesvolle afronding van de training ontvang je een bewijs van deelname.</w:t>
      </w:r>
      <w:r w:rsidRPr="00166A73">
        <w:rPr>
          <w:rFonts w:ascii="Verdana" w:eastAsia="Times New Roman" w:hAnsi="Verdana"/>
          <w:sz w:val="18"/>
          <w:szCs w:val="18"/>
        </w:rPr>
        <w:br/>
      </w:r>
      <w:r w:rsidRPr="00166A73">
        <w:rPr>
          <w:rFonts w:ascii="Verdana" w:eastAsia="Times New Roman" w:hAnsi="Verdana"/>
          <w:sz w:val="18"/>
          <w:szCs w:val="18"/>
        </w:rPr>
        <w:br/>
        <w:t>Deelnemers ontvangen een 'huiswerkpakket' met casuïstiek voorafgaand aan de training:</w:t>
      </w:r>
    </w:p>
    <w:p w:rsidR="00000000" w:rsidRDefault="00D5310B" w:rsidP="00166A73">
      <w:pPr>
        <w:numPr>
          <w:ilvl w:val="0"/>
          <w:numId w:val="3"/>
        </w:numPr>
        <w:rPr>
          <w:rFonts w:ascii="Verdana" w:eastAsia="Times New Roman" w:hAnsi="Verdana"/>
          <w:sz w:val="18"/>
          <w:szCs w:val="18"/>
        </w:rPr>
      </w:pPr>
      <w:r>
        <w:rPr>
          <w:rFonts w:ascii="Verdana" w:eastAsia="Times New Roman" w:hAnsi="Verdana"/>
          <w:sz w:val="18"/>
          <w:szCs w:val="18"/>
        </w:rPr>
        <w:t>de FARE handleiding</w:t>
      </w:r>
    </w:p>
    <w:p w:rsidR="00000000" w:rsidRDefault="00D5310B" w:rsidP="00166A73">
      <w:pPr>
        <w:numPr>
          <w:ilvl w:val="0"/>
          <w:numId w:val="3"/>
        </w:numPr>
        <w:rPr>
          <w:rFonts w:ascii="Verdana" w:eastAsia="Times New Roman" w:hAnsi="Verdana"/>
          <w:sz w:val="18"/>
          <w:szCs w:val="18"/>
        </w:rPr>
      </w:pPr>
      <w:r>
        <w:rPr>
          <w:rFonts w:ascii="Verdana" w:eastAsia="Times New Roman" w:hAnsi="Verdana"/>
          <w:sz w:val="18"/>
          <w:szCs w:val="18"/>
        </w:rPr>
        <w:t>het codeerblad</w:t>
      </w:r>
    </w:p>
    <w:p w:rsidR="00000000" w:rsidRDefault="00D5310B" w:rsidP="00166A73">
      <w:pPr>
        <w:numPr>
          <w:ilvl w:val="0"/>
          <w:numId w:val="3"/>
        </w:numPr>
        <w:rPr>
          <w:rFonts w:ascii="Verdana" w:eastAsia="Times New Roman" w:hAnsi="Verdana"/>
          <w:sz w:val="18"/>
          <w:szCs w:val="18"/>
        </w:rPr>
      </w:pPr>
      <w:r>
        <w:rPr>
          <w:rFonts w:ascii="Verdana" w:eastAsia="Times New Roman" w:hAnsi="Verdana"/>
          <w:sz w:val="18"/>
          <w:szCs w:val="18"/>
        </w:rPr>
        <w:t>casus</w:t>
      </w:r>
    </w:p>
    <w:p w:rsidR="00000000" w:rsidRDefault="00D5310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Joan van Horn - Psycholoog. Werkzaam als hoofd afdeling onderzoek bij de Waag (De Forensische Zorgspecialisten).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2B9E"/>
    <w:multiLevelType w:val="multilevel"/>
    <w:tmpl w:val="0444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00793"/>
    <w:multiLevelType w:val="multilevel"/>
    <w:tmpl w:val="A96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97AC1"/>
    <w:multiLevelType w:val="multilevel"/>
    <w:tmpl w:val="12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25B93"/>
    <w:multiLevelType w:val="hybridMultilevel"/>
    <w:tmpl w:val="BA027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66A73"/>
    <w:rsid w:val="00166A73"/>
    <w:rsid w:val="00D53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56D6"/>
  <w15:chartTrackingRefBased/>
  <w15:docId w15:val="{7F6235F5-DB6C-4C71-A86F-D5405073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26900">
      <w:marLeft w:val="0"/>
      <w:marRight w:val="0"/>
      <w:marTop w:val="0"/>
      <w:marBottom w:val="0"/>
      <w:divBdr>
        <w:top w:val="none" w:sz="0" w:space="0" w:color="auto"/>
        <w:left w:val="none" w:sz="0" w:space="0" w:color="auto"/>
        <w:bottom w:val="none" w:sz="0" w:space="0" w:color="auto"/>
        <w:right w:val="none" w:sz="0" w:space="0" w:color="auto"/>
      </w:divBdr>
      <w:divsChild>
        <w:div w:id="172840864">
          <w:marLeft w:val="0"/>
          <w:marRight w:val="0"/>
          <w:marTop w:val="0"/>
          <w:marBottom w:val="0"/>
          <w:divBdr>
            <w:top w:val="none" w:sz="0" w:space="0" w:color="auto"/>
            <w:left w:val="none" w:sz="0" w:space="0" w:color="auto"/>
            <w:bottom w:val="none" w:sz="0" w:space="0" w:color="auto"/>
            <w:right w:val="none" w:sz="0" w:space="0" w:color="auto"/>
          </w:divBdr>
          <w:divsChild>
            <w:div w:id="8815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094/risicotaxatie-in-de-ambulante-praktijk-training-in-de-raf-ggz-voor-jongeren.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2019-03-20T14:09:00Z</dcterms:created>
  <dcterms:modified xsi:type="dcterms:W3CDTF">2019-03-20T14:09:00Z</dcterms:modified>
</cp:coreProperties>
</file>